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统一中山大学专利申请代理服务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常见问题问答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1.是否可以委托非学校招标专利代理机构办理专利申请？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答：原则上，科研人员需统一使用学校招标专利代理机构。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如确因学科特点等特殊原因需要从学校统一招标的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家专利代理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  <w:lang w:eastAsia="zh-CN"/>
        </w:rPr>
        <w:t>机构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之外选择专利代理的，需要填写情况说明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  <w:lang w:eastAsia="zh-CN"/>
        </w:rPr>
        <w:t>，说明未选择学校招标专利代理机构的原因，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经所在院系和科学研究院审批同意后方可办理委托。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2.高质量专利代理服务与普通专利代理服务之间的区别在哪里？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答：一、业务范围不同。高质量专利代理服务仅针对发明专利和PCT申请，普通专利代理服务针对发明、实用新型、外观设计、软件著作权和PCT申请。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服务要求不同，主要体现在要求配备人员和服务内容两方面。人员配备方面，高质量专利代理服务配备从业经验更丰富，从业时间更长，基本在5年以上的资深代理人；普通专利代理服务则相对从业经验和时间要求较低。服务内容方面，高质量专利代理服务要求资深代理人在专利申请立案阶段，需至少面对面会晤一次，针对拟申请专利提供全球范围文献检索，对专利申请过程中各类文本进行质量把关，在有需求的情况下，提供优先审查、专利预审等服务；普通专利代理服务的服务内容相对较低。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3.在中标机构中，是否可以委托高质量专利代理机构代理普通专利申请，或普通专利代理机构代理高质量申请？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答：原则上，科研人员需根据代理机构中标进行进行专利申请委托。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如确因学科特点等特殊原因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  <w:lang w:eastAsia="zh-CN"/>
        </w:rPr>
        <w:t>需委托中标业务范围外的业务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，由科研人员与代理机构就委托事项、费用等方面进行协商，并填写情况说明，</w:t>
      </w:r>
      <w:r>
        <w:rPr>
          <w:rFonts w:hint="eastAsia" w:ascii="Times New Roman" w:hAnsi="Times New Roman" w:eastAsia="仿宋_GB2312" w:cs="宋体"/>
          <w:color w:val="000000"/>
          <w:sz w:val="32"/>
          <w:szCs w:val="32"/>
        </w:rPr>
        <w:t>经所在院系和科学研究院审批同意后方可办理委托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4.本次招标机构后续是否有淘汰机制？</w:t>
      </w:r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：本次招标代理机构服务期限为2020-2021年，服务期满，学校将根据科研人员反映情况，学校学科特点，重新启动招标，调整招标标准，淘汰科研人员反映不好的代理公司，同时根据学科等特点补充新的代理公司进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819" w:rightChars="390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widowControl/>
        <w:adjustRightInd w:val="0"/>
        <w:snapToGrid w:val="0"/>
        <w:spacing w:beforeAutospacing="0" w:afterAutospacing="0" w:line="540" w:lineRule="exact"/>
        <w:ind w:right="819" w:rightChars="390"/>
        <w:jc w:val="both"/>
        <w:rPr>
          <w:rFonts w:hint="eastAsia" w:ascii="Times New Roman" w:hAnsi="Times New Roman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85E71"/>
    <w:rsid w:val="2E8C4C3C"/>
    <w:rsid w:val="395A566F"/>
    <w:rsid w:val="5502158C"/>
    <w:rsid w:val="6C9B3E9A"/>
    <w:rsid w:val="773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王平</cp:lastModifiedBy>
  <dcterms:modified xsi:type="dcterms:W3CDTF">2020-04-07T09:30:17Z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